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1A7CBD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7691DAF5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683DC3">
        <w:rPr>
          <w:rFonts w:ascii="Arial" w:hAnsi="Arial" w:cs="Arial"/>
          <w:b/>
          <w:sz w:val="26"/>
          <w:szCs w:val="26"/>
        </w:rPr>
        <w:t>6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558FD226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62C509DF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683DC3">
        <w:rPr>
          <w:rFonts w:ascii="Arial" w:hAnsi="Arial" w:cs="Arial"/>
          <w:i/>
          <w:sz w:val="20"/>
          <w:szCs w:val="20"/>
        </w:rPr>
        <w:t>3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683DC3">
        <w:rPr>
          <w:rFonts w:ascii="Arial" w:hAnsi="Arial" w:cs="Arial"/>
          <w:i/>
          <w:sz w:val="20"/>
          <w:szCs w:val="20"/>
          <w:lang w:eastAsia="en-US" w:bidi="en-US"/>
        </w:rPr>
        <w:t>2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2319E7">
        <w:rPr>
          <w:rFonts w:ascii="Arial" w:hAnsi="Arial" w:cs="Arial"/>
          <w:i/>
          <w:sz w:val="20"/>
          <w:szCs w:val="20"/>
        </w:rPr>
        <w:t>.</w:t>
      </w:r>
    </w:p>
    <w:p w14:paraId="5F68F389" w14:textId="563CC235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364A59">
        <w:rPr>
          <w:rFonts w:ascii="Arial" w:hAnsi="Arial" w:cs="Arial"/>
          <w:sz w:val="20"/>
          <w:szCs w:val="20"/>
        </w:rPr>
        <w:t>ý dotaz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C3EFCDD" w14:textId="77777777" w:rsidR="0086376D" w:rsidRDefault="0086376D" w:rsidP="0086376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154EAFF6" w14:textId="77777777" w:rsidR="00683DC3" w:rsidRPr="00683DC3" w:rsidRDefault="00683DC3" w:rsidP="00683DC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sz w:val="20"/>
          <w:szCs w:val="20"/>
        </w:rPr>
        <w:t>Co znamená výraz „v budoucnu“ v kapitole 8 zadávací dokumentace? Vybraný dodavatel se má zavázat, že se v budoucnu nebude podílet na realizaci určitých veřejných zakázek a že dodavatel ani jeho poddodavatelé (včetně budoucích poddodavatelů podílejících se na plnění této veřejné zakázky) nejsou a ani v budoucnu nebudou v žádném personálním nebo organizačním propojení s jinými dodavateli a poddodavateli.</w:t>
      </w:r>
    </w:p>
    <w:p w14:paraId="06C13096" w14:textId="77777777" w:rsidR="00683DC3" w:rsidRPr="00683DC3" w:rsidRDefault="00683DC3" w:rsidP="00683DC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sz w:val="20"/>
          <w:szCs w:val="20"/>
        </w:rPr>
        <w:t>Znamená výraz „v budoucnu“ totéž jako „nikdy“ nebo „navždy“?</w:t>
      </w:r>
    </w:p>
    <w:p w14:paraId="3C719128" w14:textId="77777777" w:rsidR="00683DC3" w:rsidRPr="00683DC3" w:rsidRDefault="00683DC3" w:rsidP="00683DC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sz w:val="20"/>
          <w:szCs w:val="20"/>
        </w:rPr>
        <w:t>Nebo se výrazem „v budoucnu“ rozumí jen doba, po kterou bude plněna nynější veřejná zakázka? Pokud ano, jak dodavatel rozezná, do kdy jeho omezující závazek má platit, když termín ukončení (</w:t>
      </w:r>
      <w:proofErr w:type="gramStart"/>
      <w:r w:rsidRPr="00683DC3">
        <w:rPr>
          <w:rFonts w:ascii="Arial" w:hAnsi="Arial" w:cs="Arial"/>
          <w:sz w:val="20"/>
          <w:szCs w:val="20"/>
        </w:rPr>
        <w:t>28.2.2021</w:t>
      </w:r>
      <w:proofErr w:type="gramEnd"/>
      <w:r w:rsidRPr="00683DC3">
        <w:rPr>
          <w:rFonts w:ascii="Arial" w:hAnsi="Arial" w:cs="Arial"/>
          <w:sz w:val="20"/>
          <w:szCs w:val="20"/>
        </w:rPr>
        <w:t>) je jen termínem předpokládaným, jak stanoví kapitola 4.1. zadávací dokumentace?</w:t>
      </w:r>
    </w:p>
    <w:p w14:paraId="0C0624F5" w14:textId="77777777" w:rsidR="0086376D" w:rsidRPr="009F6E54" w:rsidRDefault="0086376D" w:rsidP="0086376D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9F6E54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43360611" w14:textId="5DF16D7E" w:rsidR="00146454" w:rsidRPr="00DA74F1" w:rsidRDefault="00DA74F1" w:rsidP="0086376D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uvádí, že dle odst. 6.9 </w:t>
      </w:r>
      <w:r w:rsidRPr="00DA74F1">
        <w:rPr>
          <w:rFonts w:ascii="Arial" w:hAnsi="Arial" w:cs="Arial"/>
          <w:sz w:val="20"/>
          <w:szCs w:val="20"/>
        </w:rPr>
        <w:t>Smlouv</w:t>
      </w:r>
      <w:r>
        <w:rPr>
          <w:rFonts w:ascii="Arial" w:hAnsi="Arial" w:cs="Arial"/>
          <w:sz w:val="20"/>
          <w:szCs w:val="20"/>
        </w:rPr>
        <w:t>y</w:t>
      </w:r>
      <w:r w:rsidRPr="00DA74F1">
        <w:rPr>
          <w:rFonts w:ascii="Arial" w:hAnsi="Arial" w:cs="Arial"/>
          <w:sz w:val="20"/>
          <w:szCs w:val="20"/>
        </w:rPr>
        <w:t xml:space="preserve"> o poskytování služeb systémové integrace</w:t>
      </w:r>
      <w:r>
        <w:rPr>
          <w:rFonts w:ascii="Arial" w:hAnsi="Arial" w:cs="Arial"/>
          <w:sz w:val="20"/>
          <w:szCs w:val="20"/>
        </w:rPr>
        <w:t xml:space="preserve"> (dále jen „</w:t>
      </w:r>
      <w:r>
        <w:rPr>
          <w:rFonts w:ascii="Arial" w:hAnsi="Arial" w:cs="Arial"/>
          <w:b/>
          <w:sz w:val="20"/>
          <w:szCs w:val="20"/>
        </w:rPr>
        <w:t>Smlouva</w:t>
      </w:r>
      <w:r>
        <w:rPr>
          <w:rFonts w:ascii="Arial" w:hAnsi="Arial" w:cs="Arial"/>
          <w:sz w:val="20"/>
          <w:szCs w:val="20"/>
        </w:rPr>
        <w:t>“)</w:t>
      </w:r>
      <w:r w:rsidR="00EB7070">
        <w:rPr>
          <w:rFonts w:ascii="Arial" w:hAnsi="Arial" w:cs="Arial"/>
          <w:sz w:val="20"/>
          <w:szCs w:val="20"/>
        </w:rPr>
        <w:t xml:space="preserve">, </w:t>
      </w:r>
      <w:r w:rsidR="007E5002">
        <w:rPr>
          <w:rFonts w:ascii="Arial" w:hAnsi="Arial" w:cs="Arial"/>
          <w:sz w:val="20"/>
          <w:szCs w:val="20"/>
        </w:rPr>
        <w:t xml:space="preserve">která </w:t>
      </w:r>
      <w:r w:rsidR="00EB7070">
        <w:rPr>
          <w:rFonts w:ascii="Arial" w:hAnsi="Arial" w:cs="Arial"/>
          <w:sz w:val="20"/>
          <w:szCs w:val="20"/>
        </w:rPr>
        <w:t>tento závazek konkretizuje,</w:t>
      </w:r>
      <w:r>
        <w:rPr>
          <w:rFonts w:ascii="Arial" w:hAnsi="Arial" w:cs="Arial"/>
          <w:sz w:val="20"/>
          <w:szCs w:val="20"/>
        </w:rPr>
        <w:t xml:space="preserve"> platí, že závazek zdržet se realizace určitých veřejných zakázek, a to včetně vystupování v roli společného dodavatele či subdodavatele, a dále závazek zajistit splnění též povinnosti u svých poddodavatelů a osob organizačně či personálně propojených, je účinný po dobu trvání Smlouvy a </w:t>
      </w:r>
      <w:r w:rsidR="007E5002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>12 měsíců po skončení její účinnosti. Takto zvolený termín považuje zadavatel za vhodný a nezbytný k efektivnímu naplnění účelu daného ujednání.</w:t>
      </w:r>
    </w:p>
    <w:p w14:paraId="769A8AC6" w14:textId="0688929F" w:rsid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05CA6186" w14:textId="77777777" w:rsidR="0086376D" w:rsidRPr="00683DC3" w:rsidRDefault="0086376D" w:rsidP="00683DC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b/>
          <w:sz w:val="20"/>
          <w:szCs w:val="20"/>
        </w:rPr>
        <w:t>Dotaz č. 2</w:t>
      </w:r>
      <w:r w:rsidRPr="00683DC3">
        <w:rPr>
          <w:rFonts w:ascii="Arial" w:hAnsi="Arial" w:cs="Arial"/>
          <w:sz w:val="20"/>
          <w:szCs w:val="20"/>
        </w:rPr>
        <w:t>:</w:t>
      </w:r>
    </w:p>
    <w:p w14:paraId="13A0757A" w14:textId="3FDFE757" w:rsidR="0086376D" w:rsidRPr="00683DC3" w:rsidRDefault="00683DC3" w:rsidP="00683DC3">
      <w:pPr>
        <w:spacing w:before="120" w:line="280" w:lineRule="atLeast"/>
        <w:jc w:val="both"/>
        <w:rPr>
          <w:rStyle w:val="FontStyle14"/>
          <w:rFonts w:ascii="Arial" w:hAnsi="Arial" w:cs="Arial"/>
          <w:color w:val="auto"/>
          <w:sz w:val="20"/>
          <w:szCs w:val="20"/>
        </w:rPr>
      </w:pPr>
      <w:r w:rsidRPr="00683DC3">
        <w:rPr>
          <w:rFonts w:ascii="Arial" w:hAnsi="Arial" w:cs="Arial"/>
          <w:sz w:val="20"/>
          <w:szCs w:val="20"/>
        </w:rPr>
        <w:t>Jak může dodavatel rozeznat a zavázat se, že jeho poddodavatelé nebudou v žádném personálním nebo organizačním propojení s jinými poddodavateli jiných veřejných zakázek, když není známo, o jaké zakázky půjde a pro koho? Mohou být dodavatel a poddodavatelé akciovými společnostmi, nebo jsou diskriminováni tím, že tato veřejná zakázka fakticky vylučuje účast společností, jejichž akcie se obchodují, takže společnost neví a nemůže ovlivnit, kdo bude jejím majitelem či spolumajitelem v budoucnu, kupř. v roce 2020? V podobné situaci je dodavatel či poddodavatel, který sám třeba není akciovou společností, ale je s ní již nyní propojen, např. zcela nebo zčásti vlastněn</w:t>
      </w:r>
      <w:r w:rsidR="0086376D" w:rsidRPr="00683DC3">
        <w:rPr>
          <w:rStyle w:val="FontStyle14"/>
          <w:rFonts w:ascii="Arial" w:hAnsi="Arial" w:cs="Arial"/>
          <w:sz w:val="20"/>
          <w:szCs w:val="20"/>
        </w:rPr>
        <w:t>.</w:t>
      </w:r>
    </w:p>
    <w:p w14:paraId="3361EF96" w14:textId="77777777" w:rsidR="0086376D" w:rsidRPr="00683DC3" w:rsidRDefault="0086376D" w:rsidP="00683DC3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683DC3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2CA9EF1F" w14:textId="2ED962B5" w:rsidR="00B566B1" w:rsidRDefault="00B566B1" w:rsidP="00B566B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B566B1">
        <w:rPr>
          <w:rFonts w:ascii="Arial" w:hAnsi="Arial" w:cs="Arial"/>
          <w:sz w:val="20"/>
          <w:szCs w:val="20"/>
        </w:rPr>
        <w:t>Zadavatel uvádí, že obdobný dotaz (co se týče částí týkajících se organizačního a personálního propojení) byl již předmětem žádosti o vysvětlení zadávací dokumentace č. 3 ze dne 23. 12. 2016, k níž zadavatel poskytl vysvětlení dne 29. 12. 2016.</w:t>
      </w:r>
      <w:r w:rsidR="00563D17">
        <w:rPr>
          <w:rFonts w:ascii="Arial" w:hAnsi="Arial" w:cs="Arial"/>
          <w:sz w:val="20"/>
          <w:szCs w:val="20"/>
        </w:rPr>
        <w:t xml:space="preserve"> Na toto vysvětlení si tak zadavatel dovoluje odkázat. </w:t>
      </w:r>
    </w:p>
    <w:p w14:paraId="159B24B0" w14:textId="6DE667B0" w:rsidR="00683DC3" w:rsidRDefault="00563D17" w:rsidP="00B566B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rámec výše uvedeného platí, že s</w:t>
      </w:r>
      <w:r w:rsidR="00B566B1">
        <w:rPr>
          <w:rFonts w:ascii="Arial" w:hAnsi="Arial" w:cs="Arial"/>
          <w:sz w:val="20"/>
          <w:szCs w:val="20"/>
        </w:rPr>
        <w:t>myslem a účelem předmětného ujednání Smlouvy je zabránění neoprávněného využívání možnosti zasahovat do procesu zadávání tzv. Navazujících zakázek dodavatelem, a tedy zamezení potenciálního čerpání neoprávněné výhody některými dodavateli Navazujících zakázek. Z toho důvodu je nezbytné odpovídajícím způsobem omezit osoby propojené</w:t>
      </w:r>
      <w:r w:rsidR="002B3853">
        <w:rPr>
          <w:rFonts w:ascii="Arial" w:hAnsi="Arial" w:cs="Arial"/>
          <w:sz w:val="20"/>
          <w:szCs w:val="20"/>
        </w:rPr>
        <w:t xml:space="preserve"> s dodavatelem</w:t>
      </w:r>
      <w:r w:rsidR="00B566B1">
        <w:rPr>
          <w:rFonts w:ascii="Arial" w:hAnsi="Arial" w:cs="Arial"/>
          <w:sz w:val="20"/>
          <w:szCs w:val="20"/>
        </w:rPr>
        <w:t>, jeho subdodavatele a osoby s nimi propojené.</w:t>
      </w:r>
      <w:r w:rsidR="007E5002">
        <w:rPr>
          <w:rFonts w:ascii="Arial" w:hAnsi="Arial" w:cs="Arial"/>
          <w:sz w:val="20"/>
          <w:szCs w:val="20"/>
        </w:rPr>
        <w:t xml:space="preserve"> Na minoritního akcionáře toto omezení samozřejmě nedopadá, a to pro absenci reálné kontroly nad jednáním společnosti, jejíž akcie drží. </w:t>
      </w:r>
    </w:p>
    <w:p w14:paraId="78D51A99" w14:textId="0B53C90E" w:rsidR="00B566B1" w:rsidRDefault="00BE4906" w:rsidP="00B566B1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 se týče výtky, že není zřejmé, o které veřejné zakázky půjde, zadavatel uvádí, že považuje definici Navazujících zakázek za dostatečnou k tomu, aby bylo možné v budoucnu vypisované veřejné zakázky vyhodnotit jako Navazující či nikoli, a na základě toho posoudit možnost účasti na nich.</w:t>
      </w:r>
    </w:p>
    <w:p w14:paraId="24441F7F" w14:textId="77777777" w:rsidR="00683DC3" w:rsidRPr="00683DC3" w:rsidRDefault="00683DC3" w:rsidP="00683DC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7967A26A" w14:textId="717AE03D" w:rsidR="00683DC3" w:rsidRPr="00683DC3" w:rsidRDefault="00683DC3" w:rsidP="00683DC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b/>
          <w:sz w:val="20"/>
          <w:szCs w:val="20"/>
        </w:rPr>
        <w:t>Dotaz č. 3</w:t>
      </w:r>
      <w:r w:rsidRPr="00683DC3">
        <w:rPr>
          <w:rFonts w:ascii="Arial" w:hAnsi="Arial" w:cs="Arial"/>
          <w:sz w:val="20"/>
          <w:szCs w:val="20"/>
        </w:rPr>
        <w:t>:</w:t>
      </w:r>
    </w:p>
    <w:p w14:paraId="4DCF524B" w14:textId="64791863" w:rsidR="00F8348D" w:rsidRPr="00683DC3" w:rsidRDefault="00683DC3" w:rsidP="00683DC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83DC3">
        <w:rPr>
          <w:rFonts w:ascii="Arial" w:hAnsi="Arial" w:cs="Arial"/>
          <w:sz w:val="20"/>
          <w:szCs w:val="20"/>
        </w:rPr>
        <w:t xml:space="preserve">Platí omezení dle kapitoly 8 zadávací dokumentace a dle článků 6.8 a 6.9 smlouvy na dodávky zařízení spjatých se službami elektronických komunikací, konkrétně všech koncových zařízení, telefonních přístrojů, ústředen a celků s podobnou funkcí, technologií </w:t>
      </w:r>
      <w:proofErr w:type="spellStart"/>
      <w:r w:rsidRPr="00683DC3">
        <w:rPr>
          <w:rFonts w:ascii="Arial" w:hAnsi="Arial" w:cs="Arial"/>
          <w:sz w:val="20"/>
          <w:szCs w:val="20"/>
        </w:rPr>
        <w:t>VoIP</w:t>
      </w:r>
      <w:proofErr w:type="spellEnd"/>
      <w:r w:rsidRPr="00683DC3">
        <w:rPr>
          <w:rFonts w:ascii="Arial" w:hAnsi="Arial" w:cs="Arial"/>
          <w:sz w:val="20"/>
          <w:szCs w:val="20"/>
        </w:rPr>
        <w:t>, mobilních telefonů, modemů, kabeláží, napájecích soustav, antén a příslušenství nebo aktivních prvků sítí, jako jsou směrovače, přepínače či servery, na kterých se neprovozují informační systémy, ale které slouží k provozu telekomunikační infrastruktury?</w:t>
      </w:r>
      <w:r w:rsidR="005740F4" w:rsidRPr="00683DC3">
        <w:rPr>
          <w:rFonts w:ascii="Arial" w:hAnsi="Arial" w:cs="Arial"/>
          <w:sz w:val="20"/>
          <w:szCs w:val="20"/>
        </w:rPr>
        <w:t>.</w:t>
      </w:r>
    </w:p>
    <w:p w14:paraId="5609DD35" w14:textId="77777777" w:rsidR="00683DC3" w:rsidRPr="00683DC3" w:rsidRDefault="00683DC3" w:rsidP="00683DC3">
      <w:pPr>
        <w:spacing w:before="24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683DC3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5BC8A34A" w14:textId="484C7255" w:rsidR="00026EBC" w:rsidRPr="00683DC3" w:rsidRDefault="001C031F" w:rsidP="00683DC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konstatuje, že Navazující</w:t>
      </w:r>
      <w:r w:rsidR="0091739F">
        <w:rPr>
          <w:rFonts w:ascii="Arial" w:hAnsi="Arial" w:cs="Arial"/>
          <w:sz w:val="20"/>
          <w:szCs w:val="20"/>
        </w:rPr>
        <w:t>mi</w:t>
      </w:r>
      <w:r>
        <w:rPr>
          <w:rFonts w:ascii="Arial" w:hAnsi="Arial" w:cs="Arial"/>
          <w:sz w:val="20"/>
          <w:szCs w:val="20"/>
        </w:rPr>
        <w:t xml:space="preserve"> zakáz</w:t>
      </w:r>
      <w:r w:rsidR="0091739F">
        <w:rPr>
          <w:rFonts w:ascii="Arial" w:hAnsi="Arial" w:cs="Arial"/>
          <w:sz w:val="20"/>
          <w:szCs w:val="20"/>
        </w:rPr>
        <w:t>kami</w:t>
      </w:r>
      <w:r>
        <w:rPr>
          <w:rFonts w:ascii="Arial" w:hAnsi="Arial" w:cs="Arial"/>
          <w:sz w:val="20"/>
          <w:szCs w:val="20"/>
        </w:rPr>
        <w:t xml:space="preserve">, na kterých je účast dodavatele a dalších osob vyloučena, </w:t>
      </w:r>
      <w:r w:rsidR="0091739F">
        <w:rPr>
          <w:rFonts w:ascii="Arial" w:hAnsi="Arial" w:cs="Arial"/>
          <w:sz w:val="20"/>
          <w:szCs w:val="20"/>
        </w:rPr>
        <w:t>jsou</w:t>
      </w:r>
      <w:r w:rsidR="00560C81">
        <w:rPr>
          <w:rFonts w:ascii="Arial" w:hAnsi="Arial" w:cs="Arial"/>
          <w:sz w:val="20"/>
          <w:szCs w:val="20"/>
        </w:rPr>
        <w:t xml:space="preserve"> dle odst. 6.8 </w:t>
      </w:r>
      <w:r w:rsidR="006F36AA">
        <w:rPr>
          <w:rFonts w:ascii="Arial" w:hAnsi="Arial" w:cs="Arial"/>
          <w:sz w:val="20"/>
          <w:szCs w:val="20"/>
        </w:rPr>
        <w:t>S</w:t>
      </w:r>
      <w:r w:rsidR="00560C81">
        <w:rPr>
          <w:rFonts w:ascii="Arial" w:hAnsi="Arial" w:cs="Arial"/>
          <w:sz w:val="20"/>
          <w:szCs w:val="20"/>
        </w:rPr>
        <w:t>mlouvy mimo jiné též veřejné zakázky</w:t>
      </w:r>
      <w:r w:rsidR="00026EBC">
        <w:rPr>
          <w:rFonts w:ascii="Arial" w:hAnsi="Arial" w:cs="Arial"/>
          <w:sz w:val="20"/>
          <w:szCs w:val="20"/>
        </w:rPr>
        <w:t xml:space="preserve"> </w:t>
      </w:r>
      <w:r w:rsidR="00560C81" w:rsidRPr="00560C81">
        <w:rPr>
          <w:rFonts w:ascii="Arial" w:hAnsi="Arial" w:cs="Arial"/>
          <w:sz w:val="20"/>
          <w:szCs w:val="20"/>
        </w:rPr>
        <w:t>spojen</w:t>
      </w:r>
      <w:r w:rsidR="00560C81">
        <w:rPr>
          <w:rFonts w:ascii="Arial" w:hAnsi="Arial" w:cs="Arial"/>
          <w:sz w:val="20"/>
          <w:szCs w:val="20"/>
        </w:rPr>
        <w:t>é</w:t>
      </w:r>
      <w:r w:rsidR="00560C81" w:rsidRPr="00560C81">
        <w:rPr>
          <w:rFonts w:ascii="Arial" w:hAnsi="Arial" w:cs="Arial"/>
          <w:sz w:val="20"/>
          <w:szCs w:val="20"/>
        </w:rPr>
        <w:t xml:space="preserve"> s dodávkou produktů a služeb komunikační infrastruktury (bez zahrnutí služeb elektronických komunikací ve smyslu ustanovení § 2 písm. n) zákona č. 127/2005 Sb., o elektronických komunikacích)</w:t>
      </w:r>
      <w:r w:rsidR="0091739F">
        <w:rPr>
          <w:rFonts w:ascii="Arial" w:hAnsi="Arial" w:cs="Arial"/>
          <w:sz w:val="20"/>
          <w:szCs w:val="20"/>
        </w:rPr>
        <w:t xml:space="preserve">. Za Navazující zakázky se tedy považují i dodavatelem zmiňované </w:t>
      </w:r>
      <w:r w:rsidR="0091739F" w:rsidRPr="00683DC3">
        <w:rPr>
          <w:rFonts w:ascii="Arial" w:hAnsi="Arial" w:cs="Arial"/>
          <w:sz w:val="20"/>
          <w:szCs w:val="20"/>
        </w:rPr>
        <w:t xml:space="preserve">dodávky zařízení spjatých se službami elektronických komunikací, konkrétně všech koncových zařízení, telefonních přístrojů, ústředen a celků s podobnou funkcí, technologií </w:t>
      </w:r>
      <w:proofErr w:type="spellStart"/>
      <w:r w:rsidR="0091739F" w:rsidRPr="00683DC3">
        <w:rPr>
          <w:rFonts w:ascii="Arial" w:hAnsi="Arial" w:cs="Arial"/>
          <w:sz w:val="20"/>
          <w:szCs w:val="20"/>
        </w:rPr>
        <w:t>VoIP</w:t>
      </w:r>
      <w:proofErr w:type="spellEnd"/>
      <w:r w:rsidR="0091739F" w:rsidRPr="00683DC3">
        <w:rPr>
          <w:rFonts w:ascii="Arial" w:hAnsi="Arial" w:cs="Arial"/>
          <w:sz w:val="20"/>
          <w:szCs w:val="20"/>
        </w:rPr>
        <w:t>, mobilních telefonů, modemů, kabeláží, napájecích soustav, antén</w:t>
      </w:r>
      <w:r w:rsidR="0091739F">
        <w:rPr>
          <w:rFonts w:ascii="Arial" w:hAnsi="Arial" w:cs="Arial"/>
          <w:sz w:val="20"/>
          <w:szCs w:val="20"/>
        </w:rPr>
        <w:t>,</w:t>
      </w:r>
      <w:r w:rsidR="0091739F" w:rsidRPr="00683DC3">
        <w:rPr>
          <w:rFonts w:ascii="Arial" w:hAnsi="Arial" w:cs="Arial"/>
          <w:sz w:val="20"/>
          <w:szCs w:val="20"/>
        </w:rPr>
        <w:t xml:space="preserve"> příslušenství </w:t>
      </w:r>
      <w:r w:rsidR="0091739F">
        <w:rPr>
          <w:rFonts w:ascii="Arial" w:hAnsi="Arial" w:cs="Arial"/>
          <w:sz w:val="20"/>
          <w:szCs w:val="20"/>
        </w:rPr>
        <w:t>a</w:t>
      </w:r>
      <w:r w:rsidR="0091739F" w:rsidRPr="00683DC3">
        <w:rPr>
          <w:rFonts w:ascii="Arial" w:hAnsi="Arial" w:cs="Arial"/>
          <w:sz w:val="20"/>
          <w:szCs w:val="20"/>
        </w:rPr>
        <w:t xml:space="preserve"> aktivních prvků sítí, jako jsou směrovače, přepínače či servery, na kterých se neprovozují informační systémy, ale které slouží k provozu telekomunikační infrastruktury</w:t>
      </w:r>
      <w:r w:rsidR="0091739F">
        <w:rPr>
          <w:rFonts w:ascii="Arial" w:hAnsi="Arial" w:cs="Arial"/>
          <w:sz w:val="20"/>
          <w:szCs w:val="20"/>
        </w:rPr>
        <w:t>.</w:t>
      </w:r>
    </w:p>
    <w:p w14:paraId="21CABD46" w14:textId="77777777" w:rsidR="005E4464" w:rsidRPr="00683DC3" w:rsidRDefault="005E4464" w:rsidP="00683DC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222A96A1" w14:textId="21D90919" w:rsidR="00B43EE9" w:rsidRPr="00563D17" w:rsidRDefault="0086376D" w:rsidP="0086376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563D17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 souvislosti s tímto vysvětlením zadávací dokumentace neprodlužuje.</w:t>
      </w:r>
    </w:p>
    <w:p w14:paraId="66FD743D" w14:textId="77777777" w:rsidR="00044A47" w:rsidRPr="00563D17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9E5D3D1" w14:textId="09010E9A" w:rsidR="0003378E" w:rsidRDefault="00044A47" w:rsidP="0086376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63D17">
        <w:rPr>
          <w:rFonts w:ascii="Arial" w:hAnsi="Arial" w:cs="Arial"/>
          <w:sz w:val="20"/>
          <w:szCs w:val="20"/>
        </w:rPr>
        <w:t xml:space="preserve">V Praze dne </w:t>
      </w:r>
      <w:r w:rsidR="00563D17" w:rsidRPr="00563D17">
        <w:rPr>
          <w:rFonts w:ascii="Arial" w:hAnsi="Arial" w:cs="Arial"/>
          <w:sz w:val="20"/>
          <w:szCs w:val="20"/>
          <w:lang w:eastAsia="en-US" w:bidi="en-US"/>
        </w:rPr>
        <w:t>8</w:t>
      </w:r>
      <w:r w:rsidR="009148D1" w:rsidRPr="00563D17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683DC3" w:rsidRPr="00563D17">
        <w:rPr>
          <w:rFonts w:ascii="Arial" w:hAnsi="Arial" w:cs="Arial"/>
          <w:sz w:val="20"/>
          <w:szCs w:val="20"/>
          <w:lang w:eastAsia="en-US" w:bidi="en-US"/>
        </w:rPr>
        <w:t>2</w:t>
      </w:r>
      <w:r w:rsidR="009148D1" w:rsidRPr="00563D17">
        <w:rPr>
          <w:rFonts w:ascii="Arial" w:hAnsi="Arial" w:cs="Arial"/>
          <w:sz w:val="20"/>
          <w:szCs w:val="20"/>
          <w:lang w:eastAsia="en-US" w:bidi="en-US"/>
        </w:rPr>
        <w:t>. 201</w:t>
      </w:r>
      <w:r w:rsidR="00CC3105" w:rsidRPr="00563D17">
        <w:rPr>
          <w:rFonts w:ascii="Arial" w:hAnsi="Arial" w:cs="Arial"/>
          <w:sz w:val="20"/>
          <w:szCs w:val="20"/>
          <w:lang w:eastAsia="en-US" w:bidi="en-US"/>
        </w:rPr>
        <w:t>7</w:t>
      </w: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A219E" w14:textId="77777777" w:rsidR="001D7BFE" w:rsidRDefault="001D7BFE">
      <w:r>
        <w:separator/>
      </w:r>
    </w:p>
  </w:endnote>
  <w:endnote w:type="continuationSeparator" w:id="0">
    <w:p w14:paraId="3EB1B41C" w14:textId="77777777" w:rsidR="001D7BFE" w:rsidRDefault="001D7BFE">
      <w:r>
        <w:continuationSeparator/>
      </w:r>
    </w:p>
  </w:endnote>
  <w:endnote w:type="continuationNotice" w:id="1">
    <w:p w14:paraId="2C773709" w14:textId="77777777" w:rsidR="001D7BFE" w:rsidRDefault="001D7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72E8DF25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7075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7075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B2789" w14:textId="77777777" w:rsidR="001D7BFE" w:rsidRDefault="001D7BFE">
      <w:r>
        <w:separator/>
      </w:r>
    </w:p>
  </w:footnote>
  <w:footnote w:type="continuationSeparator" w:id="0">
    <w:p w14:paraId="40CB1EC9" w14:textId="77777777" w:rsidR="001D7BFE" w:rsidRDefault="001D7BFE">
      <w:r>
        <w:continuationSeparator/>
      </w:r>
    </w:p>
  </w:footnote>
  <w:footnote w:type="continuationNotice" w:id="1">
    <w:p w14:paraId="101AFC88" w14:textId="77777777" w:rsidR="001D7BFE" w:rsidRDefault="001D7B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6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26EBC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1300"/>
    <w:rsid w:val="001A58FD"/>
    <w:rsid w:val="001A72BB"/>
    <w:rsid w:val="001A75E7"/>
    <w:rsid w:val="001A7CBD"/>
    <w:rsid w:val="001B21DD"/>
    <w:rsid w:val="001B4294"/>
    <w:rsid w:val="001C031F"/>
    <w:rsid w:val="001C1EA3"/>
    <w:rsid w:val="001C436E"/>
    <w:rsid w:val="001C4EBC"/>
    <w:rsid w:val="001C5030"/>
    <w:rsid w:val="001C6EC1"/>
    <w:rsid w:val="001C780F"/>
    <w:rsid w:val="001D5F52"/>
    <w:rsid w:val="001D7BD8"/>
    <w:rsid w:val="001D7BFE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3853"/>
    <w:rsid w:val="002B4110"/>
    <w:rsid w:val="002C2462"/>
    <w:rsid w:val="002D09D7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3CBD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53E00"/>
    <w:rsid w:val="00560C81"/>
    <w:rsid w:val="00563D17"/>
    <w:rsid w:val="00570526"/>
    <w:rsid w:val="005740F4"/>
    <w:rsid w:val="00575442"/>
    <w:rsid w:val="005759CB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3DC3"/>
    <w:rsid w:val="006856A7"/>
    <w:rsid w:val="006873B5"/>
    <w:rsid w:val="00690E6E"/>
    <w:rsid w:val="00691439"/>
    <w:rsid w:val="006A1129"/>
    <w:rsid w:val="006A7274"/>
    <w:rsid w:val="006B057B"/>
    <w:rsid w:val="006C0C11"/>
    <w:rsid w:val="006C0FBA"/>
    <w:rsid w:val="006C1477"/>
    <w:rsid w:val="006C5A23"/>
    <w:rsid w:val="006C682B"/>
    <w:rsid w:val="006C6AFC"/>
    <w:rsid w:val="006D6481"/>
    <w:rsid w:val="006D7C6E"/>
    <w:rsid w:val="006F038F"/>
    <w:rsid w:val="006F36AA"/>
    <w:rsid w:val="007011B0"/>
    <w:rsid w:val="0070230A"/>
    <w:rsid w:val="007024B7"/>
    <w:rsid w:val="0070458F"/>
    <w:rsid w:val="00711EF5"/>
    <w:rsid w:val="0072020C"/>
    <w:rsid w:val="0072278A"/>
    <w:rsid w:val="0072368E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8707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E5002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1739F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6E54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146B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EE9"/>
    <w:rsid w:val="00B46038"/>
    <w:rsid w:val="00B47931"/>
    <w:rsid w:val="00B54435"/>
    <w:rsid w:val="00B54570"/>
    <w:rsid w:val="00B566B1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14C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4906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4F1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62C0"/>
    <w:rsid w:val="00EB42ED"/>
    <w:rsid w:val="00EB7070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S3Na1yh4T9MVvxXQXc0uFgLESs0=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Yln8PIy8aeR3Vh8tjJ1BfZ2nHRI=</DigestValue>
    </Reference>
  </SignedInfo>
  <SignatureValue>URJTt8eQTfUcgj702KqOfjIYlFZEO8nnzcRWvx7TGJ+vv6r6+lSL2x84DksNE/g3ZCbEEAG6YeWm
ZY3OcxxW862cBCVfFBElz0pJqLxdr7BbOIYd+sqb8ymEx9RU3ku+rQXNvR7prsAyvQ0kxC0X82e5
ys9t5QaMVa7sxipDqZzdCSMQIcihy/ArGkQL80xAranncGc1DJA38tnpNOLr4BhgR5fMkyIeh2Ht
WDOAXZHEqhnqskNnF/I8Z/kRGXHVngwoG3GCfTvFdYTqD/Z1bP5iotdpQ/5zTyJELnMe9eeMkaoJ
YtV1o8jcmQ3FetiP4ywi/HjBxo4Uy8zLvnbzqQ==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K1BfBgR3qwpwS3avzEr9Gav4G2U=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ADVSd1sD8NJkTW7WwlQBiwsLzpU=</DigestValue>
      </Reference>
      <Reference URI="/word/webSettings.xml?ContentType=application/vnd.openxmlformats-officedocument.wordprocessingml.webSettings+xml">
        <DigestMethod Algorithm="http://www.w3.org/2000/09/xmldsig#sha1"/>
        <DigestValue>/lALP6syOYyYEWZje4KWyGhEq04=</DigestValue>
      </Reference>
      <Reference URI="/word/numbering.xml?ContentType=application/vnd.openxmlformats-officedocument.wordprocessingml.numbering+xml">
        <DigestMethod Algorithm="http://www.w3.org/2000/09/xmldsig#sha1"/>
        <DigestValue>hPk6GGnw6WX4XFWW+cMQmhhO0Ss=</DigestValue>
      </Reference>
      <Reference URI="/word/styles.xml?ContentType=application/vnd.openxmlformats-officedocument.wordprocessingml.styles+xml">
        <DigestMethod Algorithm="http://www.w3.org/2000/09/xmldsig#sha1"/>
        <DigestValue>fhsw+O67oGEMtk8mRs2KBWRfyRA=</DigestValue>
      </Reference>
      <Reference URI="/word/fontTable.xml?ContentType=application/vnd.openxmlformats-officedocument.wordprocessingml.fontTable+xml">
        <DigestMethod Algorithm="http://www.w3.org/2000/09/xmldsig#sha1"/>
        <DigestValue>aOaf3JqO8ebHetDpamZe4SzmjFo=</DigestValue>
      </Reference>
      <Reference URI="/word/footer2.xml?ContentType=application/vnd.openxmlformats-officedocument.wordprocessingml.footer+xml">
        <DigestMethod Algorithm="http://www.w3.org/2000/09/xmldsig#sha1"/>
        <DigestValue>jljUGvdVUcVyfDda+vv+zfdNrJ0=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zurFrYCTx6/YWdQeSP3MJIHxUm8=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Nzn+uZwT/smgxXABmBWfF2VcWZI=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BZ0pQGrj4kltFe7PGLOjcxlTfIQ=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2017-02-08T15:30:07Z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2017-02-08T15:30:07Z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9359a40-f311-4999-9c73-bd7ebaba2dd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3922C-F9C2-4A2A-98BE-508D8B18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</Pages>
  <Words>773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5445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50</cp:revision>
  <cp:lastPrinted>2017-02-08T15:29:00Z</cp:lastPrinted>
  <dcterms:created xsi:type="dcterms:W3CDTF">2016-07-25T07:28:00Z</dcterms:created>
  <dcterms:modified xsi:type="dcterms:W3CDTF">2017-02-08T15:30:00Z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